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4E0F4" w14:textId="77777777" w:rsidR="004C6BA3" w:rsidRDefault="001E546B">
      <w:pPr>
        <w:spacing w:after="280"/>
      </w:pPr>
      <w:r>
        <w:rPr>
          <w:b/>
          <w:bCs/>
          <w:sz w:val="30"/>
          <w:szCs w:val="30"/>
        </w:rPr>
        <w:t>Mal - Klage på avslag på innsyn i kartleggingsdokumenter</w:t>
      </w:r>
    </w:p>
    <w:p w14:paraId="75221A1A" w14:textId="77777777" w:rsidR="005B4690" w:rsidRDefault="005B4690">
      <w:pPr>
        <w:spacing w:after="160" w:line="300" w:lineRule="auto"/>
      </w:pPr>
    </w:p>
    <w:p w14:paraId="7B39E454" w14:textId="77777777" w:rsidR="005B4690" w:rsidRDefault="005B4690">
      <w:pPr>
        <w:spacing w:after="160" w:line="300" w:lineRule="auto"/>
      </w:pPr>
    </w:p>
    <w:p w14:paraId="253A2069" w14:textId="38504A29" w:rsidR="004C6BA3" w:rsidRDefault="001E546B">
      <w:pPr>
        <w:spacing w:after="160" w:line="300" w:lineRule="auto"/>
      </w:pPr>
      <w:r>
        <w:t>KLAGE PÅ AVSLAG PÅ KRAV OM INNSYN – DERES REF. [saksnummer, f.eks. 2026/22695-2]</w:t>
      </w:r>
    </w:p>
    <w:p w14:paraId="41FA27B6" w14:textId="77777777" w:rsidR="004C6BA3" w:rsidRDefault="001E546B">
      <w:pPr>
        <w:spacing w:after="160" w:line="300" w:lineRule="auto"/>
      </w:pPr>
      <w:r>
        <w:t>Det vises til kommunens avslag datert [dato for avslaget], der mitt/vårt krav om innsyn i kartleggingsdokumenter knyttet til ressursfordelingsmodellen ble avslått. Klagen fremsettes rettidig innen fristen på tre uker.</w:t>
      </w:r>
    </w:p>
    <w:p w14:paraId="34D23EDB" w14:textId="77777777" w:rsidR="004C6BA3" w:rsidRDefault="001E546B">
      <w:pPr>
        <w:spacing w:after="160" w:line="300" w:lineRule="auto"/>
      </w:pPr>
      <w:r>
        <w:t>Jeg er [tjenestemottakers rolle: verge for/pårørende til/tjenestemottaker selv] [navn], som mottar tjenester fra Fredrikstad kommune. Kartleggingen gjelder direkte de tjenestene [navn] mottar, og jeg krever på dette grunnlag fullt innsyn i dokumentene.</w:t>
      </w:r>
    </w:p>
    <w:p w14:paraId="76CEA8DB" w14:textId="77777777" w:rsidR="005B4690" w:rsidRDefault="005B4690">
      <w:pPr>
        <w:spacing w:after="120" w:line="300" w:lineRule="auto"/>
        <w:ind w:left="360" w:hanging="360"/>
      </w:pPr>
    </w:p>
    <w:p w14:paraId="00C22F87" w14:textId="657CA1CF" w:rsidR="004C6BA3" w:rsidRPr="005B4690" w:rsidRDefault="005B4690">
      <w:pPr>
        <w:spacing w:after="120" w:line="300" w:lineRule="auto"/>
        <w:ind w:left="360" w:hanging="360"/>
        <w:rPr>
          <w:b/>
          <w:bCs/>
          <w:sz w:val="28"/>
          <w:szCs w:val="28"/>
        </w:rPr>
      </w:pPr>
      <w:r>
        <w:rPr>
          <w:b/>
          <w:bCs/>
          <w:sz w:val="28"/>
          <w:szCs w:val="28"/>
        </w:rPr>
        <w:t xml:space="preserve">1 </w:t>
      </w:r>
      <w:r w:rsidR="001E546B" w:rsidRPr="005B4690">
        <w:rPr>
          <w:b/>
          <w:bCs/>
          <w:sz w:val="28"/>
          <w:szCs w:val="28"/>
        </w:rPr>
        <w:t>Avslaget behandler ikke alle de rettslige grunnlagene kravet bygger på</w:t>
      </w:r>
    </w:p>
    <w:p w14:paraId="76676A51" w14:textId="0EA27684" w:rsidR="005B4690" w:rsidRPr="005B4690" w:rsidRDefault="001E546B" w:rsidP="005B4690">
      <w:pPr>
        <w:spacing w:after="160" w:line="300" w:lineRule="auto"/>
        <w:rPr>
          <w:i/>
          <w:iCs/>
        </w:rPr>
      </w:pPr>
      <w:r w:rsidRPr="005B4690">
        <w:rPr>
          <w:i/>
          <w:iCs/>
        </w:rPr>
        <w:t xml:space="preserve">Innsyn etter personvernregelverket. </w:t>
      </w:r>
    </w:p>
    <w:p w14:paraId="13A6F846" w14:textId="1DC1CB68" w:rsidR="00E85D47" w:rsidRPr="00E85D47" w:rsidRDefault="001E546B" w:rsidP="00E85D47">
      <w:pPr>
        <w:spacing w:after="160" w:line="300" w:lineRule="auto"/>
      </w:pPr>
      <w:r>
        <w:t xml:space="preserve">Kartleggingen innebærer behandling av personopplysninger om [navn], og jeg har som registrert/representant en selvstendig rett til innsyn i disse opplysningene etter personvernforordningen artikkel 15. Denne retten er ikke betinget av at dokumentet er offentlig etter </w:t>
      </w:r>
      <w:proofErr w:type="spellStart"/>
      <w:r>
        <w:t>offentleglova</w:t>
      </w:r>
      <w:proofErr w:type="spellEnd"/>
      <w:r>
        <w:t>, og den faller utenfor det som er vurdert i avslaget.</w:t>
      </w:r>
      <w:r w:rsidR="00E85D47" w:rsidRPr="00E85D47">
        <w:rPr>
          <w:rFonts w:ascii="Segoe UI" w:hAnsi="Segoe UI" w:cs="Segoe UI"/>
          <w:color w:val="auto"/>
          <w:sz w:val="21"/>
          <w:szCs w:val="21"/>
        </w:rPr>
        <w:t xml:space="preserve"> </w:t>
      </w:r>
      <w:r w:rsidR="00E85D47" w:rsidRPr="00E85D47">
        <w:t xml:space="preserve">Dersom kommunen har oppfattet innsynskravet som fremsatt utelukkende etter </w:t>
      </w:r>
      <w:proofErr w:type="spellStart"/>
      <w:r w:rsidR="00E85D47" w:rsidRPr="00E85D47">
        <w:t>offentleglova</w:t>
      </w:r>
      <w:proofErr w:type="spellEnd"/>
      <w:r w:rsidR="00E85D47" w:rsidRPr="00E85D47">
        <w:t>, bes det om at denne klagen også anses som en uttrykkelig begjæring om innsyn etter personvernforordningen artikkel 15.</w:t>
      </w:r>
    </w:p>
    <w:p w14:paraId="3D2E1906" w14:textId="078F411E" w:rsidR="004C6BA3" w:rsidRDefault="004C6BA3" w:rsidP="005B4690">
      <w:pPr>
        <w:spacing w:after="160" w:line="300" w:lineRule="auto"/>
      </w:pPr>
    </w:p>
    <w:p w14:paraId="6A230513" w14:textId="77777777" w:rsidR="00E85D47" w:rsidRPr="00E85D47" w:rsidRDefault="001E546B" w:rsidP="00E85D47">
      <w:pPr>
        <w:spacing w:after="160" w:line="300" w:lineRule="auto"/>
      </w:pPr>
      <w:r w:rsidRPr="005B4690">
        <w:rPr>
          <w:i/>
          <w:iCs/>
        </w:rPr>
        <w:t>Innsyn i pasientjournal/helseopplysninger.</w:t>
      </w:r>
      <w:r>
        <w:t xml:space="preserve"> </w:t>
      </w:r>
      <w:r w:rsidR="005B4690">
        <w:br/>
      </w:r>
      <w:r w:rsidR="00E85D47" w:rsidRPr="00E85D47">
        <w:t>Dersom kartleggingsdokumentene inngår i, er tilknyttet eller bygger på opplysninger som er journalført i pasientjournalen, har pasienten eller dennes representant en selvstendig rett til innsyn i disse opplysningene, jf. pasient- og brukerrettighetsloven § 5-1 og journalforskriften § 11, som gir pasienten eller en representant for pasienten rett til innsyn i pasientjournalen etter pasient- og brukerrettighetsloven § 5-1 og personvernforordningen artikkel 15.</w:t>
      </w:r>
    </w:p>
    <w:p w14:paraId="33FBFDED" w14:textId="41A1326C" w:rsidR="004C6BA3" w:rsidRDefault="003D6583">
      <w:pPr>
        <w:spacing w:after="160" w:line="300" w:lineRule="auto"/>
      </w:pPr>
      <w:r>
        <w:t xml:space="preserve">Et avslag som kun drøfter </w:t>
      </w:r>
      <w:proofErr w:type="spellStart"/>
      <w:r>
        <w:t>offentleglova</w:t>
      </w:r>
      <w:proofErr w:type="spellEnd"/>
      <w:r>
        <w:t>, besvarer ikke kravet slik det er fremsatt. Dersom avslaget opprettholdes, ber jeg</w:t>
      </w:r>
      <w:r w:rsidR="001E546B">
        <w:t xml:space="preserve"> om at det gis en egen, begrunnet avgjørelse for hvert av disse tre grunnlagene. </w:t>
      </w:r>
    </w:p>
    <w:p w14:paraId="6549436A" w14:textId="51AC90D1" w:rsidR="004C6BA3" w:rsidRDefault="005B4690">
      <w:pPr>
        <w:spacing w:before="280" w:after="120"/>
      </w:pPr>
      <w:r>
        <w:rPr>
          <w:b/>
          <w:bCs/>
          <w:sz w:val="28"/>
          <w:szCs w:val="28"/>
        </w:rPr>
        <w:t xml:space="preserve">2 </w:t>
      </w:r>
      <w:r w:rsidR="001E546B">
        <w:rPr>
          <w:b/>
          <w:bCs/>
          <w:sz w:val="28"/>
          <w:szCs w:val="28"/>
        </w:rPr>
        <w:t>Innsigelse mot at dokumentene er organinterne</w:t>
      </w:r>
    </w:p>
    <w:p w14:paraId="46AC1CF0" w14:textId="77777777" w:rsidR="004C6BA3" w:rsidRDefault="001E546B">
      <w:pPr>
        <w:spacing w:after="160" w:line="300" w:lineRule="auto"/>
      </w:pPr>
      <w:r>
        <w:lastRenderedPageBreak/>
        <w:t xml:space="preserve">Avslaget legger til grunn at dokumentene er organinterne etter </w:t>
      </w:r>
      <w:proofErr w:type="spellStart"/>
      <w:r>
        <w:t>offentleglova</w:t>
      </w:r>
      <w:proofErr w:type="spellEnd"/>
      <w:r>
        <w:t xml:space="preserve"> § 14 første ledd, uten noen nærmere redegjørelse for hvordan de er utarbeidet og brukt. Jeg bestrider dette premisset og ber kommunen konkret opplyse:</w:t>
      </w:r>
    </w:p>
    <w:p w14:paraId="53DEFE73" w14:textId="77777777" w:rsidR="004C6BA3" w:rsidRDefault="001E546B">
      <w:pPr>
        <w:spacing w:after="120" w:line="300" w:lineRule="auto"/>
        <w:ind w:left="360" w:hanging="360"/>
      </w:pPr>
      <w:r>
        <w:t>-</w:t>
      </w:r>
      <w:r>
        <w:tab/>
        <w:t>hvilken enhet i kommunen som har utarbeidet det enkelte dokument, og hvilken enhet som bruker det,</w:t>
      </w:r>
    </w:p>
    <w:p w14:paraId="2CD464C2" w14:textId="6C7B51A0" w:rsidR="004C6BA3" w:rsidRDefault="001E546B">
      <w:pPr>
        <w:spacing w:after="120" w:line="300" w:lineRule="auto"/>
        <w:ind w:left="360" w:hanging="360"/>
      </w:pPr>
      <w:r>
        <w:t>-</w:t>
      </w:r>
      <w:r>
        <w:tab/>
      </w:r>
      <w:r w:rsidR="00E85D47" w:rsidRPr="00E85D47">
        <w:t xml:space="preserve">om dokumentene har vært utvekslet med andre organer, herunder kommunale foretak, politiske organer eller andre enheter som etter </w:t>
      </w:r>
      <w:proofErr w:type="spellStart"/>
      <w:r w:rsidR="00E85D47" w:rsidRPr="00E85D47">
        <w:t>offentleglova</w:t>
      </w:r>
      <w:proofErr w:type="spellEnd"/>
      <w:r w:rsidR="00E85D47" w:rsidRPr="00E85D47">
        <w:t xml:space="preserve"> må anses som selvstendige organer</w:t>
      </w:r>
    </w:p>
    <w:p w14:paraId="6B2A3E4A" w14:textId="77777777" w:rsidR="004C6BA3" w:rsidRDefault="001E546B">
      <w:pPr>
        <w:spacing w:after="120" w:line="300" w:lineRule="auto"/>
        <w:ind w:left="360" w:hanging="360"/>
      </w:pPr>
      <w:r>
        <w:t>-</w:t>
      </w:r>
      <w:r>
        <w:tab/>
        <w:t>hvilke deler av dokumentene som eventuelt utgjør kommunens endelige avgjørelse i saken, ettersom slike deler uansett faller utenfor unntaket,</w:t>
      </w:r>
    </w:p>
    <w:p w14:paraId="4EA49897" w14:textId="77777777" w:rsidR="004C6BA3" w:rsidRDefault="001E546B">
      <w:pPr>
        <w:spacing w:after="120" w:line="300" w:lineRule="auto"/>
        <w:ind w:left="360" w:hanging="360"/>
      </w:pPr>
      <w:r>
        <w:t>-</w:t>
      </w:r>
      <w:r>
        <w:tab/>
        <w:t xml:space="preserve">om noen av dokumentene er en del av et saksfremlegg eller vedlegg som har vært lagt frem for et folkevalgt organ i kommunen, ettersom unntaket i så fall ikke gjelder, jf. </w:t>
      </w:r>
      <w:proofErr w:type="spellStart"/>
      <w:r>
        <w:t>offentleglova</w:t>
      </w:r>
      <w:proofErr w:type="spellEnd"/>
      <w:r>
        <w:t xml:space="preserve"> § 16 første ledd, som fastsetter at unntakene i §§ 14 og 15 ikke gjelder for saksframlegg med vedlegg til et kommunalt folkevalgt organ.</w:t>
      </w:r>
    </w:p>
    <w:p w14:paraId="1B7EAE80" w14:textId="77777777" w:rsidR="004C6BA3" w:rsidRDefault="001E546B">
      <w:pPr>
        <w:spacing w:after="160" w:line="300" w:lineRule="auto"/>
      </w:pPr>
      <w:r>
        <w:t>Jeg ber i den forbindelse om at kommunen oversender en oversikt (journalpost-/dokumentliste) over de dokumentene innsynskravet omfatter, slik at det er klart hva som faktisk vurderes.</w:t>
      </w:r>
    </w:p>
    <w:p w14:paraId="65F92F93" w14:textId="77777777" w:rsidR="004C6BA3" w:rsidRDefault="001E546B">
      <w:pPr>
        <w:spacing w:before="280" w:after="120"/>
      </w:pPr>
      <w:proofErr w:type="gramStart"/>
      <w:r>
        <w:rPr>
          <w:b/>
          <w:bCs/>
          <w:sz w:val="28"/>
          <w:szCs w:val="28"/>
        </w:rPr>
        <w:t>2  Merinnsyn</w:t>
      </w:r>
      <w:proofErr w:type="gramEnd"/>
      <w:r>
        <w:rPr>
          <w:b/>
          <w:bCs/>
          <w:sz w:val="28"/>
          <w:szCs w:val="28"/>
        </w:rPr>
        <w:t xml:space="preserve"> og § 12 bokstav c er ikke tilstrekkelig begrunnet</w:t>
      </w:r>
    </w:p>
    <w:p w14:paraId="23A31AC2" w14:textId="3AA93852" w:rsidR="004C6BA3" w:rsidRDefault="001E546B">
      <w:pPr>
        <w:spacing w:after="160" w:line="300" w:lineRule="auto"/>
      </w:pPr>
      <w:r>
        <w:t>Kommunen skriver at opplysningene som gjenstår etter fjerning av taushetsbelagte opplysninger «ikke gir noen selvstendig mening», og unntar på dette grunnlag hele dokumentet. Dette er en generell påstand som ikke er konkretisert.</w:t>
      </w:r>
      <w:r w:rsidR="00E85D47">
        <w:t xml:space="preserve"> </w:t>
      </w:r>
      <w:r w:rsidR="00E85D47" w:rsidRPr="00E85D47">
        <w:t xml:space="preserve">Kommunens begrunnelse gjør det vanskelig å prøve om vilkårene i </w:t>
      </w:r>
      <w:proofErr w:type="spellStart"/>
      <w:r w:rsidR="00E85D47" w:rsidRPr="00E85D47">
        <w:t>offentleglova</w:t>
      </w:r>
      <w:proofErr w:type="spellEnd"/>
      <w:r w:rsidR="00E85D47" w:rsidRPr="00E85D47">
        <w:t xml:space="preserve"> § 12 bokstav c faktisk er oppfylt.</w:t>
      </w:r>
      <w:r>
        <w:t xml:space="preserve"> Taushetsplikten er dessuten ikke til hinder for innsyn i opplysninger som gjelder den innsynskravet direkte gjelder, jf. forvaltningsloven § 13 a nr. 1, som fastsetter at taushetsplikt ikke er til hinder for at opplysninger gjøres kjent for den de direkte gjelder. Dersom dokumentene i det vesentlige, eller utelukkende, gjelder [navn], gjør taushetsplikten seg ikke gjeldende overfor meg som representant, og unntaket i </w:t>
      </w:r>
      <w:proofErr w:type="spellStart"/>
      <w:r>
        <w:t>offentleglova</w:t>
      </w:r>
      <w:proofErr w:type="spellEnd"/>
      <w:r>
        <w:t xml:space="preserve"> § 12 bokstav c kan da ikke begrunne at hele dokumentet holdes tilbake.</w:t>
      </w:r>
    </w:p>
    <w:p w14:paraId="43463DB9" w14:textId="77777777" w:rsidR="004C6BA3" w:rsidRDefault="001E546B">
      <w:pPr>
        <w:spacing w:after="160" w:line="300" w:lineRule="auto"/>
      </w:pPr>
      <w:r>
        <w:t>Jeg ber om at kommunen konkret redegjør for:</w:t>
      </w:r>
    </w:p>
    <w:p w14:paraId="78BAB35A" w14:textId="77777777" w:rsidR="004C6BA3" w:rsidRDefault="001E546B">
      <w:pPr>
        <w:spacing w:after="120" w:line="300" w:lineRule="auto"/>
        <w:ind w:left="360" w:hanging="360"/>
      </w:pPr>
      <w:r>
        <w:t>-</w:t>
      </w:r>
      <w:r>
        <w:tab/>
        <w:t>hvilke deler av det enkelte dokument som er taushetsbelagt, og hvorfor,</w:t>
      </w:r>
    </w:p>
    <w:p w14:paraId="2D7F7909" w14:textId="77777777" w:rsidR="004C6BA3" w:rsidRDefault="001E546B">
      <w:pPr>
        <w:spacing w:after="120" w:line="300" w:lineRule="auto"/>
        <w:ind w:left="360" w:hanging="360"/>
      </w:pPr>
      <w:r>
        <w:t>-</w:t>
      </w:r>
      <w:r>
        <w:tab/>
        <w:t>hvorvidt disse opplysningene utelukkende gjelder [navn], og</w:t>
      </w:r>
    </w:p>
    <w:p w14:paraId="0E531322" w14:textId="77777777" w:rsidR="004C6BA3" w:rsidRDefault="001E546B">
      <w:pPr>
        <w:spacing w:after="120" w:line="300" w:lineRule="auto"/>
        <w:ind w:left="360" w:hanging="360"/>
      </w:pPr>
      <w:r>
        <w:t>-</w:t>
      </w:r>
      <w:r>
        <w:tab/>
        <w:t>hvorfor anonymisering eller sladding ikke er tilstrekkelig eller mulig.</w:t>
      </w:r>
    </w:p>
    <w:p w14:paraId="2411B00F" w14:textId="77777777" w:rsidR="004C6BA3" w:rsidRDefault="001E546B">
      <w:pPr>
        <w:spacing w:before="280" w:after="120"/>
      </w:pPr>
      <w:proofErr w:type="gramStart"/>
      <w:r>
        <w:rPr>
          <w:b/>
          <w:bCs/>
          <w:sz w:val="28"/>
          <w:szCs w:val="28"/>
        </w:rPr>
        <w:t>3  Sakens</w:t>
      </w:r>
      <w:proofErr w:type="gramEnd"/>
      <w:r>
        <w:rPr>
          <w:b/>
          <w:bCs/>
          <w:sz w:val="28"/>
          <w:szCs w:val="28"/>
        </w:rPr>
        <w:t xml:space="preserve"> allmenne og individuelle betydning</w:t>
      </w:r>
    </w:p>
    <w:p w14:paraId="559BE579" w14:textId="119F450F" w:rsidR="004C6BA3" w:rsidRDefault="001E546B">
      <w:pPr>
        <w:spacing w:after="160" w:line="300" w:lineRule="auto"/>
      </w:pPr>
      <w:r>
        <w:lastRenderedPageBreak/>
        <w:t xml:space="preserve">Kartleggingen gjelder ressursbruk og tjenestetilbud til personer med funksjonsnedsettelse, og har direkte betydning for om </w:t>
      </w:r>
      <w:r w:rsidR="00E85D47" w:rsidRPr="00E85D47">
        <w:t>har direkte betydning for vurderingen av [navn]s tjenestebehov og hvilket tjenestetilbud kommunen skal yte.</w:t>
      </w:r>
      <w:r>
        <w:t xml:space="preserve"> Dette er opplysninger av stor betydning for den enkelte tjenestemottaker, og innsyn er en forutsetning for å kunne vurdere om det er grunnlag for å klage på det underliggende tjenestetilbudet.</w:t>
      </w:r>
    </w:p>
    <w:p w14:paraId="5ED11DA4" w14:textId="0C8941BB" w:rsidR="00E85D47" w:rsidRDefault="00E85D47">
      <w:pPr>
        <w:spacing w:after="160" w:line="300" w:lineRule="auto"/>
      </w:pPr>
      <w:r w:rsidRPr="00E85D47">
        <w:t>Dokumentene synes å utgjøre en del av det faktiske og faglige grunnlaget for kommunens vurderinger av tjenestebehovet. Dette taler for innsyn, ettersom parten må kunne kontrollere hvilke opplysninger og vurderinger som ligger til grunn for tjenesteytingen.</w:t>
      </w:r>
    </w:p>
    <w:p w14:paraId="58BF2B5F" w14:textId="6C43876B" w:rsidR="004C6BA3" w:rsidRDefault="001E546B">
      <w:pPr>
        <w:spacing w:after="160" w:line="300" w:lineRule="auto"/>
      </w:pPr>
      <w:r>
        <w:t xml:space="preserve">Jeg er kjent med at Statsforvalteren i en annen sak om tilsvarende innsynskrav </w:t>
      </w:r>
      <w:r w:rsidR="00E85D47">
        <w:t xml:space="preserve">(sak </w:t>
      </w:r>
      <w:r w:rsidR="00E85D47" w:rsidRPr="00E85D47">
        <w:t>2026/34031</w:t>
      </w:r>
      <w:r w:rsidR="00E85D47">
        <w:t xml:space="preserve">) </w:t>
      </w:r>
      <w:r>
        <w:t>har omgjort kommunens avslag for én bruker, og bedt kommunen foreta en ny og mer konkret vurdering av merinnsyn. Jeg legger til grunn at kommunen også i denne saken vil foreta en tilsvarende konkret og individuell vurdering.</w:t>
      </w:r>
    </w:p>
    <w:p w14:paraId="38EFC23D" w14:textId="77777777" w:rsidR="004C6BA3" w:rsidRDefault="001E546B">
      <w:pPr>
        <w:spacing w:before="280" w:after="120"/>
      </w:pPr>
      <w:proofErr w:type="gramStart"/>
      <w:r>
        <w:rPr>
          <w:b/>
          <w:bCs/>
          <w:sz w:val="28"/>
          <w:szCs w:val="28"/>
        </w:rPr>
        <w:t>4  Krav</w:t>
      </w:r>
      <w:proofErr w:type="gramEnd"/>
    </w:p>
    <w:p w14:paraId="60FB791F" w14:textId="77777777" w:rsidR="004C6BA3" w:rsidRDefault="001E546B">
      <w:pPr>
        <w:spacing w:after="160" w:line="300" w:lineRule="auto"/>
      </w:pPr>
      <w:r>
        <w:t>På bakgrunn av det ovennevnte krever jeg at kommunen:</w:t>
      </w:r>
    </w:p>
    <w:p w14:paraId="2A6287BC" w14:textId="77777777" w:rsidR="004C6BA3" w:rsidRDefault="001E546B">
      <w:pPr>
        <w:spacing w:after="120" w:line="300" w:lineRule="auto"/>
        <w:ind w:left="360" w:hanging="360"/>
      </w:pPr>
      <w:r>
        <w:t>1.</w:t>
      </w:r>
      <w:r>
        <w:tab/>
        <w:t>gir innsyn i kartleggingsdokumentene som gjelder [navn], subsidiært en redigert versjon der eventuelle taushetsbelagte opplysninger om andre enn [navn] er sladdet,</w:t>
      </w:r>
    </w:p>
    <w:p w14:paraId="20FDF93C" w14:textId="77777777" w:rsidR="004C6BA3" w:rsidRDefault="001E546B">
      <w:pPr>
        <w:spacing w:after="120" w:line="300" w:lineRule="auto"/>
        <w:ind w:left="360" w:hanging="360"/>
      </w:pPr>
      <w:r>
        <w:t>2.</w:t>
      </w:r>
      <w:r>
        <w:tab/>
        <w:t>oversender en dokumentliste over de dokumentene kravet omfatter,</w:t>
      </w:r>
    </w:p>
    <w:p w14:paraId="4A4F46A4" w14:textId="3B1FF07C" w:rsidR="004C6BA3" w:rsidRDefault="001E546B">
      <w:pPr>
        <w:spacing w:after="120" w:line="300" w:lineRule="auto"/>
        <w:ind w:left="360" w:hanging="360"/>
      </w:pPr>
      <w:r>
        <w:t>3.</w:t>
      </w:r>
      <w:r>
        <w:tab/>
        <w:t>gir en egen begrunnet vurdering av innsynskravet etter personvernforordningen artikkel 15</w:t>
      </w:r>
      <w:r w:rsidR="00751345">
        <w:t>,</w:t>
      </w:r>
      <w:r>
        <w:t xml:space="preserve"> </w:t>
      </w:r>
      <w:r w:rsidR="00751345">
        <w:t xml:space="preserve">pasient- og brukerrettighetsloven § 5-1 og </w:t>
      </w:r>
      <w:r>
        <w:t xml:space="preserve">pasientjournalforskriften § 11, i tillegg til vurderingen etter </w:t>
      </w:r>
      <w:proofErr w:type="spellStart"/>
      <w:r>
        <w:t>offentleglova</w:t>
      </w:r>
      <w:proofErr w:type="spellEnd"/>
      <w:r>
        <w:t>,</w:t>
      </w:r>
    </w:p>
    <w:p w14:paraId="5E55E53B" w14:textId="77777777" w:rsidR="004C6BA3" w:rsidRDefault="001E546B">
      <w:pPr>
        <w:spacing w:after="120" w:line="300" w:lineRule="auto"/>
        <w:ind w:left="360" w:hanging="360"/>
      </w:pPr>
      <w:r>
        <w:t>4.</w:t>
      </w:r>
      <w:r>
        <w:tab/>
        <w:t>dersom avslaget helt eller delvis opprettholdes, gir en konkret og individuell begrunnelse for hvert unntak, herunder hvilke skadehensyn som gjør seg gjeldende, og</w:t>
      </w:r>
    </w:p>
    <w:p w14:paraId="2047F89A" w14:textId="77777777" w:rsidR="004C6BA3" w:rsidRDefault="001E546B">
      <w:pPr>
        <w:spacing w:after="120" w:line="300" w:lineRule="auto"/>
        <w:ind w:left="360" w:hanging="360"/>
      </w:pPr>
      <w:r>
        <w:t>5.</w:t>
      </w:r>
      <w:r>
        <w:tab/>
        <w:t>opplyser om klageadgang og klagefrist for den videre behandlingen.</w:t>
      </w:r>
    </w:p>
    <w:p w14:paraId="0DD29B9C" w14:textId="77777777" w:rsidR="00751345" w:rsidRDefault="00751345">
      <w:pPr>
        <w:spacing w:after="120" w:line="300" w:lineRule="auto"/>
        <w:ind w:left="360" w:hanging="360"/>
      </w:pPr>
    </w:p>
    <w:p w14:paraId="673BBB02" w14:textId="1649A5BA" w:rsidR="00751345" w:rsidRDefault="00751345">
      <w:pPr>
        <w:spacing w:after="160" w:line="300" w:lineRule="auto"/>
        <w:rPr>
          <w:b/>
          <w:bCs/>
          <w:sz w:val="28"/>
          <w:szCs w:val="28"/>
        </w:rPr>
      </w:pPr>
      <w:r>
        <w:rPr>
          <w:b/>
          <w:bCs/>
          <w:sz w:val="28"/>
          <w:szCs w:val="28"/>
        </w:rPr>
        <w:t>5 Avslutning</w:t>
      </w:r>
    </w:p>
    <w:p w14:paraId="3C007CF9" w14:textId="6F11FFEB" w:rsidR="00751345" w:rsidRDefault="00E85D47" w:rsidP="00751345">
      <w:pPr>
        <w:spacing w:after="160" w:line="300" w:lineRule="auto"/>
      </w:pPr>
      <w:r w:rsidRPr="00E85D47">
        <w:t>Jeg ber om at klagen behandles uten ugrunnet opphold.</w:t>
      </w:r>
      <w:r>
        <w:t xml:space="preserve"> </w:t>
      </w:r>
      <w:r w:rsidR="00751345">
        <w:t>Dersom avslaget opprettholdes ber jeg om at saken oversendes Statsforvalteren for klagebehandling.</w:t>
      </w:r>
    </w:p>
    <w:p w14:paraId="7E54F481" w14:textId="121EEA77" w:rsidR="00751345" w:rsidRPr="00751345" w:rsidRDefault="00751345" w:rsidP="00751345">
      <w:pPr>
        <w:spacing w:after="160" w:line="300" w:lineRule="auto"/>
      </w:pPr>
      <w:r w:rsidRPr="00751345">
        <w:t xml:space="preserve">Videre vil </w:t>
      </w:r>
      <w:r>
        <w:t>vi</w:t>
      </w:r>
      <w:r w:rsidRPr="00751345">
        <w:t xml:space="preserve"> v</w:t>
      </w:r>
      <w:r>
        <w:t>urdere</w:t>
      </w:r>
      <w:r w:rsidRPr="00751345">
        <w:t xml:space="preserve"> å bringe saken inn for</w:t>
      </w:r>
      <w:r>
        <w:t xml:space="preserve"> </w:t>
      </w:r>
      <w:r w:rsidRPr="00751345">
        <w:t>Sivilombud</w:t>
      </w:r>
      <w:r>
        <w:t>et</w:t>
      </w:r>
      <w:r w:rsidRPr="00751345">
        <w:t xml:space="preserve"> </w:t>
      </w:r>
      <w:r>
        <w:t xml:space="preserve">for vurdering </w:t>
      </w:r>
      <w:r w:rsidRPr="00751345">
        <w:t>av</w:t>
      </w:r>
      <w:r>
        <w:t xml:space="preserve"> </w:t>
      </w:r>
      <w:r w:rsidRPr="00751345">
        <w:t>lovligheten av avslaget</w:t>
      </w:r>
      <w:r>
        <w:t>, dersom</w:t>
      </w:r>
      <w:r w:rsidRPr="00751345">
        <w:t xml:space="preserve"> </w:t>
      </w:r>
      <w:r>
        <w:t>det</w:t>
      </w:r>
      <w:r w:rsidRPr="00751345">
        <w:t xml:space="preserve"> opprettholdes.</w:t>
      </w:r>
    </w:p>
    <w:p w14:paraId="225FBD71" w14:textId="77777777" w:rsidR="00751345" w:rsidRDefault="00751345">
      <w:pPr>
        <w:spacing w:after="160" w:line="300" w:lineRule="auto"/>
      </w:pPr>
    </w:p>
    <w:p w14:paraId="4E842740" w14:textId="47159772" w:rsidR="004C6BA3" w:rsidRDefault="001E546B">
      <w:pPr>
        <w:spacing w:after="160" w:line="300" w:lineRule="auto"/>
      </w:pPr>
      <w:r>
        <w:t>Med vennlig hilsen</w:t>
      </w:r>
    </w:p>
    <w:p w14:paraId="3EE2B364" w14:textId="77777777" w:rsidR="004C6BA3" w:rsidRDefault="001E546B">
      <w:pPr>
        <w:spacing w:after="160" w:line="300" w:lineRule="auto"/>
      </w:pPr>
      <w:r>
        <w:t>[Navn]</w:t>
      </w:r>
    </w:p>
    <w:p w14:paraId="5736AF1C" w14:textId="1E65E28C" w:rsidR="004C6BA3" w:rsidRDefault="001E546B">
      <w:pPr>
        <w:spacing w:after="160" w:line="300" w:lineRule="auto"/>
      </w:pPr>
      <w:r>
        <w:t>[Eventuell rolle: verge for/pårørende til NN]</w:t>
      </w:r>
    </w:p>
    <w:sectPr w:rsidR="004C6BA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84AD" w14:textId="77777777" w:rsidR="00186D70" w:rsidRDefault="00186D70">
      <w:r>
        <w:separator/>
      </w:r>
    </w:p>
  </w:endnote>
  <w:endnote w:type="continuationSeparator" w:id="0">
    <w:p w14:paraId="33581EE2" w14:textId="77777777" w:rsidR="00186D70" w:rsidRDefault="0018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F974" w14:textId="77777777" w:rsidR="004C6BA3" w:rsidRDefault="001E546B">
    <w:pPr>
      <w:jc w:val="center"/>
    </w:pPr>
    <w:r>
      <w:rPr>
        <w:sz w:val="18"/>
        <w:szCs w:val="18"/>
      </w:rPr>
      <w:fldChar w:fldCharType="begin"/>
    </w:r>
    <w:r>
      <w:rPr>
        <w:sz w:val="18"/>
        <w:szCs w:val="18"/>
      </w:rPr>
      <w:instrText>PAGE</w:instrText>
    </w:r>
    <w:r>
      <w:rPr>
        <w:sz w:val="18"/>
        <w:szCs w:val="18"/>
      </w:rPr>
      <w:fldChar w:fldCharType="separate"/>
    </w:r>
    <w:r w:rsidR="003D6583">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F8BA" w14:textId="77777777" w:rsidR="00186D70" w:rsidRDefault="00186D70">
      <w:r>
        <w:separator/>
      </w:r>
    </w:p>
  </w:footnote>
  <w:footnote w:type="continuationSeparator" w:id="0">
    <w:p w14:paraId="237DB1A7" w14:textId="77777777" w:rsidR="00186D70" w:rsidRDefault="00186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24B"/>
    <w:multiLevelType w:val="hybridMultilevel"/>
    <w:tmpl w:val="A198E4F4"/>
    <w:lvl w:ilvl="0" w:tplc="E006E17A">
      <w:start w:val="1"/>
      <w:numFmt w:val="bullet"/>
      <w:lvlText w:val="●"/>
      <w:lvlJc w:val="left"/>
      <w:pPr>
        <w:ind w:left="720" w:hanging="360"/>
      </w:pPr>
    </w:lvl>
    <w:lvl w:ilvl="1" w:tplc="BE9E2A48">
      <w:start w:val="1"/>
      <w:numFmt w:val="bullet"/>
      <w:lvlText w:val="○"/>
      <w:lvlJc w:val="left"/>
      <w:pPr>
        <w:ind w:left="1440" w:hanging="360"/>
      </w:pPr>
    </w:lvl>
    <w:lvl w:ilvl="2" w:tplc="903CC95C">
      <w:start w:val="1"/>
      <w:numFmt w:val="bullet"/>
      <w:lvlText w:val="■"/>
      <w:lvlJc w:val="left"/>
      <w:pPr>
        <w:ind w:left="2160" w:hanging="360"/>
      </w:pPr>
    </w:lvl>
    <w:lvl w:ilvl="3" w:tplc="78D28D24">
      <w:start w:val="1"/>
      <w:numFmt w:val="bullet"/>
      <w:lvlText w:val="●"/>
      <w:lvlJc w:val="left"/>
      <w:pPr>
        <w:ind w:left="2880" w:hanging="360"/>
      </w:pPr>
    </w:lvl>
    <w:lvl w:ilvl="4" w:tplc="328A2B20">
      <w:start w:val="1"/>
      <w:numFmt w:val="bullet"/>
      <w:lvlText w:val="○"/>
      <w:lvlJc w:val="left"/>
      <w:pPr>
        <w:ind w:left="3600" w:hanging="360"/>
      </w:pPr>
    </w:lvl>
    <w:lvl w:ilvl="5" w:tplc="C8586D44">
      <w:start w:val="1"/>
      <w:numFmt w:val="bullet"/>
      <w:lvlText w:val="■"/>
      <w:lvlJc w:val="left"/>
      <w:pPr>
        <w:ind w:left="4320" w:hanging="360"/>
      </w:pPr>
    </w:lvl>
    <w:lvl w:ilvl="6" w:tplc="3F064738">
      <w:start w:val="1"/>
      <w:numFmt w:val="bullet"/>
      <w:lvlText w:val="●"/>
      <w:lvlJc w:val="left"/>
      <w:pPr>
        <w:ind w:left="5040" w:hanging="360"/>
      </w:pPr>
    </w:lvl>
    <w:lvl w:ilvl="7" w:tplc="A7D6383A">
      <w:start w:val="1"/>
      <w:numFmt w:val="bullet"/>
      <w:lvlText w:val="●"/>
      <w:lvlJc w:val="left"/>
      <w:pPr>
        <w:ind w:left="5760" w:hanging="360"/>
      </w:pPr>
    </w:lvl>
    <w:lvl w:ilvl="8" w:tplc="85A8FDFE">
      <w:start w:val="1"/>
      <w:numFmt w:val="bullet"/>
      <w:lvlText w:val="●"/>
      <w:lvlJc w:val="left"/>
      <w:pPr>
        <w:ind w:left="6480" w:hanging="360"/>
      </w:pPr>
    </w:lvl>
  </w:abstractNum>
  <w:abstractNum w:abstractNumId="1" w15:restartNumberingAfterBreak="0">
    <w:nsid w:val="17247F99"/>
    <w:multiLevelType w:val="hybridMultilevel"/>
    <w:tmpl w:val="8FF096C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2674534"/>
    <w:multiLevelType w:val="hybridMultilevel"/>
    <w:tmpl w:val="1E8E90C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97C54BA"/>
    <w:multiLevelType w:val="hybridMultilevel"/>
    <w:tmpl w:val="1F5C7DA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44956083">
    <w:abstractNumId w:val="0"/>
    <w:lvlOverride w:ilvl="0">
      <w:startOverride w:val="1"/>
    </w:lvlOverride>
  </w:num>
  <w:num w:numId="2" w16cid:durableId="1154880903">
    <w:abstractNumId w:val="2"/>
  </w:num>
  <w:num w:numId="3" w16cid:durableId="1417172720">
    <w:abstractNumId w:val="3"/>
  </w:num>
  <w:num w:numId="4" w16cid:durableId="2132820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BA3"/>
    <w:rsid w:val="00186D70"/>
    <w:rsid w:val="001E546B"/>
    <w:rsid w:val="003D6583"/>
    <w:rsid w:val="004C6BA3"/>
    <w:rsid w:val="005B4690"/>
    <w:rsid w:val="006408E8"/>
    <w:rsid w:val="00751345"/>
    <w:rsid w:val="00804148"/>
    <w:rsid w:val="008A760F"/>
    <w:rsid w:val="00A0396B"/>
    <w:rsid w:val="00BC2EDB"/>
    <w:rsid w:val="00D81C23"/>
    <w:rsid w:val="00DA2F23"/>
    <w:rsid w:val="00E85D47"/>
    <w:rsid w:val="00F9561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3ECF"/>
  <w15:docId w15:val="{029DACD1-6858-433C-A6A5-600BC4D8C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uiPriority w:val="10"/>
    <w:qFormat/>
    <w:rPr>
      <w:sz w:val="56"/>
      <w:szCs w:val="56"/>
    </w:rPr>
  </w:style>
  <w:style w:type="paragraph" w:customStyle="1" w:styleId="Sterk1">
    <w:name w:val="Sterk1"/>
    <w:qFormat/>
    <w:rPr>
      <w:b/>
      <w:bCs/>
    </w:rPr>
  </w:style>
  <w:style w:type="paragraph" w:styleId="Listeavsnitt">
    <w:name w:val="List Paragraph"/>
    <w:qFormat/>
  </w:style>
  <w:style w:type="character" w:styleId="Hyperkobling">
    <w:name w:val="Hyperlink"/>
    <w:uiPriority w:val="99"/>
    <w:unhideWhenUsed/>
    <w:rPr>
      <w:color w:val="0563C1"/>
      <w:u w:val="single"/>
    </w:rPr>
  </w:style>
  <w:style w:type="character" w:styleId="Fotnotereferanse">
    <w:name w:val="footnote reference"/>
    <w:uiPriority w:val="99"/>
    <w:semiHidden/>
    <w:unhideWhenUsed/>
    <w:rPr>
      <w:vertAlign w:val="superscript"/>
    </w:rPr>
  </w:style>
  <w:style w:type="paragraph" w:styleId="Fotnotetekst">
    <w:name w:val="footnote text"/>
    <w:link w:val="FotnotetekstTegn"/>
    <w:uiPriority w:val="99"/>
    <w:semiHidden/>
    <w:unhideWhenUsed/>
    <w:rPr>
      <w:sz w:val="20"/>
      <w:szCs w:val="20"/>
    </w:rPr>
  </w:style>
  <w:style w:type="character" w:customStyle="1" w:styleId="FotnotetekstTegn">
    <w:name w:val="Fotnotetekst Tegn"/>
    <w:link w:val="Fotnotetekst"/>
    <w:uiPriority w:val="99"/>
    <w:semiHidden/>
    <w:unhideWhenUsed/>
    <w:rPr>
      <w:sz w:val="20"/>
      <w:szCs w:val="20"/>
    </w:rPr>
  </w:style>
  <w:style w:type="paragraph" w:styleId="Topptekst">
    <w:name w:val="header"/>
    <w:basedOn w:val="Normal"/>
    <w:link w:val="TopptekstTegn"/>
    <w:uiPriority w:val="99"/>
    <w:unhideWhenUsed/>
    <w:rsid w:val="005B4690"/>
    <w:pPr>
      <w:tabs>
        <w:tab w:val="center" w:pos="4536"/>
        <w:tab w:val="right" w:pos="9072"/>
      </w:tabs>
    </w:pPr>
  </w:style>
  <w:style w:type="character" w:customStyle="1" w:styleId="TopptekstTegn">
    <w:name w:val="Topptekst Tegn"/>
    <w:basedOn w:val="Standardskriftforavsnitt"/>
    <w:link w:val="Topptekst"/>
    <w:uiPriority w:val="99"/>
    <w:rsid w:val="005B4690"/>
  </w:style>
  <w:style w:type="paragraph" w:styleId="Bunntekst">
    <w:name w:val="footer"/>
    <w:basedOn w:val="Normal"/>
    <w:link w:val="BunntekstTegn"/>
    <w:uiPriority w:val="99"/>
    <w:unhideWhenUsed/>
    <w:rsid w:val="005B4690"/>
    <w:pPr>
      <w:tabs>
        <w:tab w:val="center" w:pos="4536"/>
        <w:tab w:val="right" w:pos="9072"/>
      </w:tabs>
    </w:pPr>
  </w:style>
  <w:style w:type="character" w:customStyle="1" w:styleId="BunntekstTegn">
    <w:name w:val="Bunntekst Tegn"/>
    <w:basedOn w:val="Standardskriftforavsnitt"/>
    <w:link w:val="Bunntekst"/>
    <w:uiPriority w:val="99"/>
    <w:rsid w:val="005B4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5483</Characters>
  <Application>Microsoft Office Word</Application>
  <DocSecurity>0</DocSecurity>
  <Lines>45</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Pia Ribsskog</cp:lastModifiedBy>
  <cp:revision>2</cp:revision>
  <dcterms:created xsi:type="dcterms:W3CDTF">2026-09-02T13:11:00Z</dcterms:created>
  <dcterms:modified xsi:type="dcterms:W3CDTF">2026-09-02T13:11:00Z</dcterms:modified>
</cp:coreProperties>
</file>